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w:t>
      </w:r>
      <w:r>
        <w:rPr>
          <w:rFonts w:ascii="Arial" w:hAnsi="Arial" w:cs="Arial"/>
          <w:sz w:val="22"/>
          <w:szCs w:val="22"/>
          <w:highlight w:val="none"/>
        </w:rPr>
        <w:t xml:space="preserve">a no </w:t>
      </w:r>
      <w:r>
        <w:rPr>
          <w:rFonts w:ascii="Arial" w:hAnsi="Arial" w:cs="Arial"/>
          <w:b/>
          <w:bCs/>
          <w:sz w:val="22"/>
          <w:szCs w:val="22"/>
          <w:highlight w:val="none"/>
        </w:rPr>
        <w:t xml:space="preserve">Processo Administrativo nº </w:t>
      </w:r>
      <w:r>
        <w:rPr>
          <w:rFonts w:hint="default" w:ascii="Arial" w:hAnsi="Arial" w:cs="Arial"/>
          <w:b/>
          <w:bCs/>
          <w:sz w:val="22"/>
          <w:szCs w:val="22"/>
          <w:highlight w:val="none"/>
          <w:lang w:val="pt-BR"/>
        </w:rPr>
        <w:t>42.66</w:t>
      </w:r>
      <w:bookmarkStart w:id="11" w:name="_GoBack"/>
      <w:bookmarkEnd w:id="11"/>
      <w:r>
        <w:rPr>
          <w:rFonts w:hint="default" w:ascii="Arial" w:hAnsi="Arial" w:cs="Arial"/>
          <w:b/>
          <w:bCs/>
          <w:sz w:val="22"/>
          <w:szCs w:val="22"/>
          <w:highlight w:val="none"/>
          <w:lang w:val="pt-BR"/>
        </w:rPr>
        <w:t>4/2025</w:t>
      </w:r>
      <w:r>
        <w:rPr>
          <w:rFonts w:ascii="Arial" w:hAnsi="Arial" w:cs="Arial"/>
          <w:b/>
          <w:bCs/>
          <w:sz w:val="22"/>
          <w:szCs w:val="22"/>
          <w:highlight w:val="none"/>
        </w:rPr>
        <w:t xml:space="preserve">, </w:t>
      </w:r>
      <w:r>
        <w:rPr>
          <w:rFonts w:ascii="Arial" w:hAnsi="Arial" w:cs="Arial"/>
          <w:sz w:val="22"/>
          <w:szCs w:val="22"/>
          <w:highlight w:val="none"/>
        </w:rPr>
        <w:t xml:space="preserve">e em observância às disposições da Lei nº 14.133, de 1º de abril de 2021 </w:t>
      </w:r>
      <w:r>
        <w:rPr>
          <w:rFonts w:ascii="Arial" w:hAnsi="Arial" w:cs="Arial"/>
          <w:sz w:val="22"/>
          <w:szCs w:val="22"/>
          <w:highlight w:val="none"/>
          <w:lang w:val="pt-PT"/>
        </w:rPr>
        <w:t>e demais legislações aplicáveis</w:t>
      </w:r>
      <w:r>
        <w:rPr>
          <w:rFonts w:ascii="Arial" w:hAnsi="Arial" w:cs="Arial"/>
          <w:sz w:val="22"/>
          <w:szCs w:val="22"/>
          <w:highlight w:val="none"/>
        </w:rPr>
        <w:t>,</w:t>
      </w:r>
      <w:r>
        <w:rPr>
          <w:rFonts w:ascii="Arial" w:hAnsi="Arial" w:cs="Arial"/>
          <w:i/>
          <w:sz w:val="22"/>
          <w:szCs w:val="22"/>
          <w:highlight w:val="none"/>
        </w:rPr>
        <w:t xml:space="preserve"> </w:t>
      </w:r>
      <w:r>
        <w:rPr>
          <w:rFonts w:ascii="Arial" w:hAnsi="Arial" w:cs="Arial"/>
          <w:sz w:val="22"/>
          <w:szCs w:val="22"/>
          <w:highlight w:val="none"/>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90.014/2026</w:t>
      </w:r>
      <w:r>
        <w:rPr>
          <w:rFonts w:ascii="Arial" w:hAnsi="Arial" w:cs="Arial"/>
          <w:sz w:val="22"/>
          <w:szCs w:val="22"/>
          <w:highlight w:val="none"/>
        </w:rPr>
        <w:t>, media</w:t>
      </w:r>
      <w:r>
        <w:rPr>
          <w:rFonts w:ascii="Arial" w:hAnsi="Arial" w:cs="Arial"/>
          <w:sz w:val="22"/>
          <w:szCs w:val="22"/>
        </w:rPr>
        <w:t>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w:t>
      </w:r>
      <w:r>
        <w:rPr>
          <w:rFonts w:hint="default" w:ascii="Arial" w:hAnsi="Arial" w:cs="Arial"/>
          <w:bCs/>
          <w:iCs/>
          <w:lang w:val="pt-BR"/>
        </w:rPr>
        <w:t xml:space="preserve"> </w:t>
      </w:r>
      <w:r>
        <w:rPr>
          <w:rFonts w:hint="default" w:ascii="Arial" w:hAnsi="Arial" w:cs="Arial" w:eastAsiaTheme="majorEastAsia"/>
          <w:b/>
          <w:bCs/>
          <w:lang w:val="pt-BR" w:eastAsia="pt-BR"/>
        </w:rPr>
        <w:t>AQUISIÇÃO de</w:t>
      </w:r>
      <w:r>
        <w:rPr>
          <w:rFonts w:ascii="Arial" w:hAnsi="Arial" w:cs="Arial" w:eastAsiaTheme="majorEastAsia"/>
          <w:b/>
          <w:bCs/>
          <w:lang w:val="pt-BR" w:eastAsia="pt-BR"/>
        </w:rPr>
        <w:t xml:space="preserve"> MATERIAL DIDÁTICO PARA ATENDER O ALUNADO DA REDE MUNICIPAL DE EDUCAÇÃO E MATERIAL DE EXPEDIENTE PARA ATENDER AS NECESSIDADES ADMINISTRATIVAS DAS UNIDADES ESCOLARES E DO NÚCLEO CENTRAL E DO ALMOXARIFADO DA SECRETARIA DE EDUCAÇÃO DE NOVA FRIBURGO-RJ para o ano letivo de 2026</w:t>
      </w:r>
      <w:r>
        <w:rPr>
          <w:rFonts w:ascii="Arial" w:hAnsi="Arial" w:cs="Arial"/>
          <w:bCs/>
          <w:iCs/>
        </w:rPr>
        <w:t>,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7D2AA859">
      <w:pPr>
        <w:pStyle w:val="19"/>
        <w:numPr>
          <w:ilvl w:val="0"/>
          <w:numId w:val="3"/>
        </w:numPr>
        <w:tabs>
          <w:tab w:val="left" w:pos="284"/>
        </w:tabs>
        <w:spacing w:line="276" w:lineRule="auto"/>
        <w:ind w:left="0" w:firstLine="0"/>
        <w:jc w:val="both"/>
        <w:rPr>
          <w:rFonts w:ascii="Arial" w:hAnsi="Arial" w:cs="Arial"/>
          <w:b/>
          <w:bCs/>
          <w:i/>
          <w:iCs/>
          <w:color w:val="FF0000"/>
          <w:u w:val="single"/>
          <w:lang w:val="pt-BR"/>
        </w:rPr>
      </w:pPr>
      <w:r>
        <w:rPr>
          <w:rFonts w:ascii="Arial" w:hAnsi="Arial" w:cs="Arial" w:eastAsiaTheme="majorEastAsia"/>
          <w:b/>
          <w:bCs/>
          <w:lang w:val="pt-BR" w:eastAsia="pt-BR"/>
        </w:rPr>
        <w:t>CLÁUSULA SEGUNDA – VIGÊNCIA E PRORROGAÇÃO</w:t>
      </w:r>
    </w:p>
    <w:p w14:paraId="68894C8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77ABC2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03ADDF5E">
      <w:pPr>
        <w:pStyle w:val="19"/>
        <w:widowControl/>
        <w:numPr>
          <w:ilvl w:val="1"/>
          <w:numId w:val="3"/>
        </w:numPr>
        <w:tabs>
          <w:tab w:val="left" w:pos="426"/>
        </w:tabs>
        <w:autoSpaceDE/>
        <w:autoSpaceDN/>
        <w:spacing w:before="120" w:after="120" w:line="276" w:lineRule="auto"/>
        <w:ind w:left="0" w:firstLine="0"/>
        <w:jc w:val="both"/>
        <w:rPr>
          <w:rFonts w:hint="default" w:ascii="Arial" w:hAnsi="Arial" w:cs="Arial"/>
          <w:bCs/>
          <w:iCs/>
          <w:u w:val="single"/>
          <w:lang w:val="pt-BR"/>
        </w:rPr>
      </w:pPr>
      <w:r>
        <w:rPr>
          <w:rFonts w:ascii="Arial" w:hAnsi="Arial" w:cs="Arial"/>
          <w:bCs/>
          <w:iCs/>
          <w:u w:val="single"/>
        </w:rPr>
        <w:t>MODELO DE EXECUÇÃO DO OBJETO (arts. 6º, XXIII, alínea “e” e 40, §1º, inciso II, da Lei nº 14.133/2021)</w:t>
      </w:r>
      <w:r>
        <w:rPr>
          <w:rFonts w:hint="default" w:ascii="Arial" w:hAnsi="Arial" w:cs="Arial"/>
          <w:bCs/>
          <w:iCs/>
          <w:u w:val="single"/>
          <w:lang w:val="pt-BR"/>
        </w:rPr>
        <w:t>:</w:t>
      </w:r>
    </w:p>
    <w:p w14:paraId="568D1735">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 </w:t>
      </w:r>
      <w:r>
        <w:rPr>
          <w:rFonts w:ascii="Arial" w:hAnsi="Arial" w:cs="Arial"/>
          <w:bCs/>
          <w:iCs/>
          <w:lang w:val="pt-BR" w:eastAsia="zh-CN"/>
        </w:rPr>
        <w:t>A entrega do objeto será efetuada mediante solicitação, atendendo ao pedido e a necessidade da Administração Pública, através do responsável pelo setor correspondente, com prazo de entrega não superior a 30 (trinta) dias úteis contados do recebimento da(s) Nota(s) de Empenho(s);</w:t>
      </w:r>
    </w:p>
    <w:p w14:paraId="65BB8E22">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3.1.2 </w:t>
      </w:r>
      <w:r>
        <w:rPr>
          <w:rFonts w:ascii="Arial" w:hAnsi="Arial" w:cs="Arial"/>
          <w:bCs/>
          <w:iCs/>
          <w:lang w:val="pt-BR" w:eastAsia="zh-CN"/>
        </w:rPr>
        <w:t xml:space="preserve"> Após a expedição da autorização de fornecimento, providenciar o agendamento prévio com o Almoxarifado da Secretaria de Educação para evitar possível interferência nas atividades do mesmo;</w:t>
      </w:r>
    </w:p>
    <w:p w14:paraId="1EA2ACCF">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3.1.3 </w:t>
      </w:r>
      <w:r>
        <w:rPr>
          <w:rFonts w:ascii="Arial" w:hAnsi="Arial" w:cs="Arial"/>
          <w:bCs/>
          <w:iCs/>
          <w:lang w:val="pt-BR" w:eastAsia="zh-CN"/>
        </w:rPr>
        <w:t>Os objetos deverão ser entregues parceladamente, de acordo com as solicitações da Municipalidade em conformidade com as especificações exigidas neste Termo de Referência;</w:t>
      </w:r>
    </w:p>
    <w:p w14:paraId="751922EA">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3.1.4 </w:t>
      </w:r>
      <w:r>
        <w:rPr>
          <w:rFonts w:ascii="Arial" w:hAnsi="Arial" w:cs="Arial"/>
          <w:bCs/>
          <w:iCs/>
          <w:lang w:val="pt-BR" w:eastAsia="zh-CN"/>
        </w:rPr>
        <w:t xml:space="preserve"> Na hipótese de a verificação a que se refere o subitem anterior, objetos misturados e embalados de forma incorreta, os mesmos serão devolvidos para adequação e posterior entrega. </w:t>
      </w:r>
    </w:p>
    <w:p w14:paraId="33341C14">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3.1.5 </w:t>
      </w:r>
      <w:r>
        <w:rPr>
          <w:rFonts w:ascii="Arial" w:hAnsi="Arial" w:cs="Arial"/>
          <w:bCs/>
          <w:iCs/>
          <w:lang w:val="pt-BR" w:eastAsia="zh-CN"/>
        </w:rPr>
        <w:t>O(s) Gestor(s) da Ata de Registro de Preços encaminhará para a empresa contratada, juntamente com a(s) Nota(s) de Empenho(s) o pedido o local a ser realizada a entrega;</w:t>
      </w:r>
    </w:p>
    <w:p w14:paraId="12A5A62F">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3.1.6 </w:t>
      </w:r>
      <w:r>
        <w:rPr>
          <w:rFonts w:ascii="Arial" w:hAnsi="Arial" w:cs="Arial"/>
          <w:bCs/>
          <w:iCs/>
          <w:lang w:val="pt-BR" w:eastAsia="zh-CN"/>
        </w:rPr>
        <w:t xml:space="preserve"> Quaisquer discrepâncias nas especificações técnicas e recomendações das normas vigentes específicas, bem como todos os acabamentos acordados serão consideradas não conformidades e sujeitas a correção ou substituição pela contratada, sem ônus adicional para esta Pasta.</w:t>
      </w:r>
    </w:p>
    <w:p w14:paraId="5AAC5CF5">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3.1.7 </w:t>
      </w:r>
      <w:r>
        <w:rPr>
          <w:rFonts w:ascii="Arial" w:hAnsi="Arial" w:cs="Arial"/>
          <w:bCs/>
          <w:iCs/>
          <w:lang w:val="pt-BR" w:eastAsia="zh-CN"/>
        </w:rPr>
        <w:t>Caso não seja possível a entrega na data assinalada, a empresa deverá comunicar as razões respectivas com pelo menos 2 (dois) dias de antecedência para que qualquer pleito de prorrogação de prazo seja analisado, ressalvadas situações de caso fortuito e força maior;</w:t>
      </w:r>
    </w:p>
    <w:p w14:paraId="496244A7">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3.1.8 </w:t>
      </w:r>
      <w:r>
        <w:rPr>
          <w:rFonts w:ascii="Arial" w:hAnsi="Arial" w:cs="Arial"/>
          <w:bCs/>
          <w:iCs/>
          <w:lang w:val="pt-BR" w:eastAsia="zh-CN"/>
        </w:rPr>
        <w:t xml:space="preserve"> Os bens serão recebidos provisoriamente, de forma sumária, no prazo de 2 (dois) dias, pelo(a) responsável pelo acompanhamento e fiscalização do contrato, para efeito de posterior verificação de sua conformidade com as especificações constantes neste Termo de Referência e na proposta;</w:t>
      </w:r>
    </w:p>
    <w:p w14:paraId="602C4CA7">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3.1.9 </w:t>
      </w:r>
      <w:r>
        <w:rPr>
          <w:rFonts w:ascii="Arial" w:hAnsi="Arial" w:cs="Arial"/>
          <w:bCs/>
          <w:iCs/>
          <w:lang w:val="pt-BR" w:eastAsia="zh-CN"/>
        </w:rPr>
        <w:t>Será indispensável que todo produto licitado atenda às especificações técnicas e recomendações das normas vigentes específicas.  Todo acabamento deve ser isento de rebarbas, defeitos, etc;</w:t>
      </w:r>
    </w:p>
    <w:p w14:paraId="659757C2">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3.1.10 </w:t>
      </w:r>
      <w:r>
        <w:rPr>
          <w:rFonts w:ascii="Arial" w:hAnsi="Arial" w:cs="Arial"/>
          <w:bCs/>
          <w:iCs/>
          <w:lang w:val="pt-BR" w:eastAsia="zh-CN"/>
        </w:rPr>
        <w:t>Os bens poderão ser rejeitados, no todo ou em parte, quando em desacordo com as especificações constantes neste Termo de Referência e na proposta, devendo ser substituídos no prazo de 7 (sete) dias, a contar da notificação da contratada, às suas custas, sem prejuízo da aplicação das penalidades;</w:t>
      </w:r>
    </w:p>
    <w:p w14:paraId="656AC805">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3.1.11 </w:t>
      </w:r>
      <w:r>
        <w:rPr>
          <w:rFonts w:ascii="Arial" w:hAnsi="Arial" w:cs="Arial"/>
          <w:bCs/>
          <w:iCs/>
          <w:lang w:val="pt-BR" w:eastAsia="zh-CN"/>
        </w:rPr>
        <w:t xml:space="preserve"> Os bens serão recebidos definitivamente no prazo de 2 (dois) dias, contados do recebimento provisório, após a verificação da qualidade e quantidade do material e consequente aceitação mediante termo detalhado;</w:t>
      </w:r>
    </w:p>
    <w:p w14:paraId="58F3C2D5">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3.1.12 </w:t>
      </w:r>
      <w:r>
        <w:rPr>
          <w:rFonts w:ascii="Arial" w:hAnsi="Arial" w:cs="Arial"/>
          <w:bCs/>
          <w:iCs/>
          <w:lang w:val="pt-BR" w:eastAsia="zh-CN"/>
        </w:rPr>
        <w:t xml:space="preserve"> Na hipótese de a verificação a que se refere o subitem anterior não ser procedida dentro do prazo fixado, reputar-se-á como realizada, consumando-se o recebimento definitivo no dia do esgotamento do prazo.</w:t>
      </w:r>
    </w:p>
    <w:p w14:paraId="4EE7DD9F">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3.1.13 </w:t>
      </w:r>
      <w:r>
        <w:rPr>
          <w:rFonts w:ascii="Arial" w:hAnsi="Arial" w:cs="Arial"/>
          <w:bCs/>
          <w:iCs/>
          <w:lang w:val="pt-BR" w:eastAsia="zh-CN"/>
        </w:rPr>
        <w:t xml:space="preserve"> O recebimento provisório ou definitivo não excluirá a responsabilidade civil pela solidez e pela segurança do serviço nem a responsabilidade ético-profissional pela perfeita execução do contrato, nos termos do artigo 140, § 2º da Lei 14.133/2021;</w:t>
      </w:r>
    </w:p>
    <w:p w14:paraId="1911BE62">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3.1.14 </w:t>
      </w:r>
      <w:r>
        <w:rPr>
          <w:rFonts w:ascii="Arial" w:hAnsi="Arial" w:cs="Arial"/>
          <w:bCs/>
          <w:iCs/>
          <w:lang w:val="pt-BR" w:eastAsia="zh-CN"/>
        </w:rPr>
        <w:t xml:space="preserve">Os produtos serão recebidos no Almoxarifado da Secretaria de Educação (Endereço, telefone, referência e horário/dias de funcionamento a baixo) no local indicado pelo responsável do Almoxarifado. </w:t>
      </w:r>
    </w:p>
    <w:tbl>
      <w:tblPr>
        <w:tblStyle w:val="6"/>
        <w:tblW w:w="0" w:type="auto"/>
        <w:tblInd w:w="783" w:type="dxa"/>
        <w:tblLayout w:type="fixed"/>
        <w:tblCellMar>
          <w:top w:w="0" w:type="dxa"/>
          <w:left w:w="108" w:type="dxa"/>
          <w:bottom w:w="0" w:type="dxa"/>
          <w:right w:w="108" w:type="dxa"/>
        </w:tblCellMar>
      </w:tblPr>
      <w:tblGrid>
        <w:gridCol w:w="2623"/>
        <w:gridCol w:w="6419"/>
      </w:tblGrid>
      <w:tr w14:paraId="44058F85">
        <w:tblPrEx>
          <w:tblCellMar>
            <w:top w:w="0" w:type="dxa"/>
            <w:left w:w="108" w:type="dxa"/>
            <w:bottom w:w="0" w:type="dxa"/>
            <w:right w:w="108" w:type="dxa"/>
          </w:tblCellMar>
        </w:tblPrEx>
        <w:trPr>
          <w:trHeight w:val="449" w:hRule="atLeast"/>
        </w:trPr>
        <w:tc>
          <w:tcPr>
            <w:tcW w:w="2623" w:type="dxa"/>
            <w:tcBorders>
              <w:top w:val="single" w:color="000000" w:sz="4" w:space="0"/>
              <w:bottom w:val="single" w:color="000000" w:sz="4" w:space="0"/>
            </w:tcBorders>
            <w:noWrap w:val="0"/>
            <w:vAlign w:val="center"/>
          </w:tcPr>
          <w:p w14:paraId="779C89A1">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ascii="Arial" w:hAnsi="Arial" w:cs="Arial"/>
                <w:bCs/>
                <w:iCs/>
                <w:lang w:val="pt-BR" w:eastAsia="zh-CN"/>
              </w:rPr>
              <w:t>Secretaria requisitante:</w:t>
            </w:r>
          </w:p>
        </w:tc>
        <w:tc>
          <w:tcPr>
            <w:tcW w:w="6419" w:type="dxa"/>
            <w:tcBorders>
              <w:top w:val="single" w:color="000000" w:sz="4" w:space="0"/>
              <w:bottom w:val="single" w:color="000000" w:sz="4" w:space="0"/>
            </w:tcBorders>
            <w:noWrap w:val="0"/>
            <w:vAlign w:val="center"/>
          </w:tcPr>
          <w:p w14:paraId="31A4E616">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ascii="Arial" w:hAnsi="Arial" w:cs="Arial"/>
                <w:bCs/>
                <w:iCs/>
                <w:lang w:val="pt-BR" w:eastAsia="zh-CN"/>
              </w:rPr>
              <w:t>Almoxarifado da Secretaria de Educação</w:t>
            </w:r>
          </w:p>
        </w:tc>
      </w:tr>
      <w:tr w14:paraId="5985BC70">
        <w:tblPrEx>
          <w:tblCellMar>
            <w:top w:w="0" w:type="dxa"/>
            <w:left w:w="108" w:type="dxa"/>
            <w:bottom w:w="0" w:type="dxa"/>
            <w:right w:w="108" w:type="dxa"/>
          </w:tblCellMar>
        </w:tblPrEx>
        <w:trPr>
          <w:trHeight w:val="2278" w:hRule="atLeast"/>
        </w:trPr>
        <w:tc>
          <w:tcPr>
            <w:tcW w:w="2623" w:type="dxa"/>
            <w:tcBorders>
              <w:top w:val="single" w:color="000000" w:sz="4" w:space="0"/>
              <w:bottom w:val="single" w:color="000000" w:sz="4" w:space="0"/>
            </w:tcBorders>
            <w:noWrap w:val="0"/>
            <w:vAlign w:val="center"/>
          </w:tcPr>
          <w:p w14:paraId="2C12F640">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ascii="Arial" w:hAnsi="Arial" w:cs="Arial"/>
                <w:bCs/>
                <w:iCs/>
                <w:lang w:val="pt-BR" w:eastAsia="zh-CN"/>
              </w:rPr>
              <w:t>Endereço:</w:t>
            </w:r>
          </w:p>
        </w:tc>
        <w:tc>
          <w:tcPr>
            <w:tcW w:w="6419" w:type="dxa"/>
            <w:tcBorders>
              <w:top w:val="single" w:color="000000" w:sz="4" w:space="0"/>
              <w:bottom w:val="single" w:color="000000" w:sz="4" w:space="0"/>
            </w:tcBorders>
            <w:noWrap w:val="0"/>
            <w:vAlign w:val="center"/>
          </w:tcPr>
          <w:p w14:paraId="261CDE1E">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ascii="Arial" w:hAnsi="Arial" w:cs="Arial"/>
                <w:bCs/>
                <w:iCs/>
                <w:lang w:val="pt-BR" w:eastAsia="zh-CN"/>
              </w:rPr>
              <w:t>Avenida Antônio Mario de Azevedo, nº. 2.838, Área Via-A, Córrego D’Antas - Nova Friburgo - RJ - Cep: 28.630-310,</w:t>
            </w:r>
          </w:p>
          <w:p w14:paraId="60C184DD">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ascii="Arial" w:hAnsi="Arial" w:cs="Arial"/>
                <w:bCs/>
                <w:iCs/>
                <w:lang w:val="pt-BR" w:eastAsia="zh-CN"/>
              </w:rPr>
              <w:t xml:space="preserve"> Ref: Estrada Friburgo - Teresópolis, km 2 - Antiga Nacif Papeis (Ao lado do Motel Happy End)</w:t>
            </w:r>
          </w:p>
        </w:tc>
      </w:tr>
      <w:tr w14:paraId="001B579B">
        <w:tblPrEx>
          <w:tblCellMar>
            <w:top w:w="0" w:type="dxa"/>
            <w:left w:w="108" w:type="dxa"/>
            <w:bottom w:w="0" w:type="dxa"/>
            <w:right w:w="108" w:type="dxa"/>
          </w:tblCellMar>
        </w:tblPrEx>
        <w:trPr>
          <w:trHeight w:val="915" w:hRule="atLeast"/>
        </w:trPr>
        <w:tc>
          <w:tcPr>
            <w:tcW w:w="2623" w:type="dxa"/>
            <w:tcBorders>
              <w:top w:val="single" w:color="000000" w:sz="4" w:space="0"/>
              <w:bottom w:val="single" w:color="000000" w:sz="4" w:space="0"/>
            </w:tcBorders>
            <w:noWrap w:val="0"/>
            <w:vAlign w:val="center"/>
          </w:tcPr>
          <w:p w14:paraId="6952E2FB">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ascii="Arial" w:hAnsi="Arial" w:cs="Arial"/>
                <w:bCs/>
                <w:iCs/>
                <w:lang w:val="pt-BR" w:eastAsia="zh-CN"/>
              </w:rPr>
              <w:t>Horário de entrega e        descarga:</w:t>
            </w:r>
          </w:p>
        </w:tc>
        <w:tc>
          <w:tcPr>
            <w:tcW w:w="6419" w:type="dxa"/>
            <w:tcBorders>
              <w:top w:val="single" w:color="000000" w:sz="4" w:space="0"/>
              <w:bottom w:val="single" w:color="000000" w:sz="4" w:space="0"/>
            </w:tcBorders>
            <w:noWrap w:val="0"/>
            <w:vAlign w:val="center"/>
          </w:tcPr>
          <w:p w14:paraId="55DA0E5D">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ascii="Arial" w:hAnsi="Arial" w:cs="Arial"/>
                <w:bCs/>
                <w:iCs/>
                <w:lang w:val="pt-BR" w:eastAsia="zh-CN"/>
              </w:rPr>
              <w:t>De: 07:30 até às 14:30 horas - de segunda a quinta-feira (impreterivelmente).</w:t>
            </w:r>
          </w:p>
          <w:p w14:paraId="014C7533">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ascii="Arial" w:hAnsi="Arial" w:cs="Arial"/>
                <w:bCs/>
                <w:iCs/>
                <w:lang w:val="pt-BR" w:eastAsia="zh-CN"/>
              </w:rPr>
              <w:t xml:space="preserve">É IMPRESCINDÍVEL O AGENDAMENTO PARA ENTREGA PELO </w:t>
            </w:r>
          </w:p>
          <w:p w14:paraId="42EBC82F">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ascii="Arial" w:hAnsi="Arial" w:cs="Arial"/>
                <w:bCs/>
                <w:iCs/>
                <w:lang w:val="pt-BR" w:eastAsia="zh-CN"/>
              </w:rPr>
              <w:t>TEL: (22) 2529-3388 ou pelo E-mail: almoxarifado@sme.novafriburgo.rj.gov.br</w:t>
            </w:r>
          </w:p>
        </w:tc>
      </w:tr>
    </w:tbl>
    <w:p w14:paraId="65C1634F">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p>
    <w:p w14:paraId="74C98DEA">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3.1.15 </w:t>
      </w:r>
      <w:r>
        <w:rPr>
          <w:rFonts w:ascii="Arial" w:hAnsi="Arial" w:cs="Arial"/>
          <w:bCs/>
          <w:iCs/>
          <w:lang w:val="pt-BR" w:eastAsia="zh-CN"/>
        </w:rPr>
        <w:t>O prazo de garantia contratual dos bens, complementar à garantia legal, será de, no mínimo, 12 (doze) meses, contado a partir do primeiro dia útil subsequente à data do recebimento definitivo do objeto atendendo as especificidades de cada item constante neste Termo de Referência;</w:t>
      </w:r>
    </w:p>
    <w:p w14:paraId="06A3CEEB">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3.1.16 </w:t>
      </w:r>
      <w:r>
        <w:rPr>
          <w:rFonts w:ascii="Arial" w:hAnsi="Arial" w:cs="Arial"/>
          <w:bCs/>
          <w:iCs/>
          <w:lang w:val="pt-BR" w:eastAsia="zh-CN"/>
        </w:rPr>
        <w:t xml:space="preserve"> Caso o prazo da garantia oferecida pelo fabricante seja inferior ao estabelecido nesta cláusula, o fornecedor deverá complementar a garantia do bem ofertado pelo período restante;</w:t>
      </w:r>
    </w:p>
    <w:p w14:paraId="54CEC96A">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3.1.17 </w:t>
      </w:r>
      <w:r>
        <w:rPr>
          <w:rFonts w:ascii="Arial" w:hAnsi="Arial" w:cs="Arial"/>
          <w:bCs/>
          <w:iCs/>
          <w:lang w:val="pt-BR" w:eastAsia="zh-CN"/>
        </w:rPr>
        <w:t>A garantia será prestada com vistas a manter os equipamentos fornecidos em perfeitas condições de uso, sem qualquer ônus ou custo adicional para o Contratante;</w:t>
      </w:r>
    </w:p>
    <w:p w14:paraId="57C064C2">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3.1.18 </w:t>
      </w:r>
      <w:r>
        <w:rPr>
          <w:rFonts w:ascii="Arial" w:hAnsi="Arial" w:cs="Arial"/>
          <w:bCs/>
          <w:iCs/>
          <w:lang w:val="pt-BR" w:eastAsia="zh-CN"/>
        </w:rPr>
        <w:t>A garantia abrange a realização da manutenção corretiva dos bens pelo próprio Contratado, ou, se for o caso, por meio de assistência técnica autorizada, de acordo com as normas técnicas específicas;</w:t>
      </w:r>
    </w:p>
    <w:p w14:paraId="74A416D7">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3.1.19 </w:t>
      </w:r>
      <w:r>
        <w:rPr>
          <w:rFonts w:ascii="Arial" w:hAnsi="Arial" w:cs="Arial"/>
          <w:bCs/>
          <w:iCs/>
          <w:lang w:val="pt-BR" w:eastAsia="zh-CN"/>
        </w:rPr>
        <w:t xml:space="preserve"> Entende-se por manutenção corretiva aquela destinada a corrigir os defeitos apresentados pelos bens, compreendendo a substituição de peças, a realização de ajustes, reparos e correções necessárias;</w:t>
      </w:r>
    </w:p>
    <w:p w14:paraId="159C311F">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3.1.20 </w:t>
      </w:r>
      <w:r>
        <w:rPr>
          <w:rFonts w:ascii="Arial" w:hAnsi="Arial" w:cs="Arial"/>
          <w:bCs/>
          <w:iCs/>
          <w:lang w:val="pt-BR" w:eastAsia="zh-CN"/>
        </w:rPr>
        <w:t xml:space="preserve"> Os bens que apresentarem vício ou defeito no período de vigência da garantia deverão ser substituídos por outros novos, de primeiro uso, e originais, que apresentem padrões de qualidade e desempenho iguais ou superiores aos das peças utilizadas na fabricação do equipamento;</w:t>
      </w:r>
    </w:p>
    <w:p w14:paraId="166037E9">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3.1.21</w:t>
      </w:r>
      <w:r>
        <w:rPr>
          <w:rFonts w:ascii="Arial" w:hAnsi="Arial" w:cs="Arial"/>
          <w:bCs/>
          <w:iCs/>
          <w:lang w:val="pt-BR" w:eastAsia="zh-CN"/>
        </w:rPr>
        <w:t xml:space="preserve"> Uma vez notificado, o Contratado realizará a reparação ou substituição dos bens que apresentarem vício ou defeito no prazo de até 5 (cinco) dias úteis, contados à partir da data de retirada do equipamento das dependências da Administração pelo Contratado ou pela assistência técnica autorizada;</w:t>
      </w:r>
    </w:p>
    <w:p w14:paraId="0AA62545">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3.1.22 </w:t>
      </w:r>
      <w:r>
        <w:rPr>
          <w:rFonts w:ascii="Arial" w:hAnsi="Arial" w:cs="Arial"/>
          <w:bCs/>
          <w:iCs/>
          <w:lang w:val="pt-BR" w:eastAsia="zh-CN"/>
        </w:rPr>
        <w:t>O prazo indicado no subitem anterior, durante seu transcurso, poderá ser prorrogado uma única vez, por igual período, mediante solicitação escrita e justificada do Contratado, aceita pelo Contratante;</w:t>
      </w:r>
    </w:p>
    <w:p w14:paraId="1A319111">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3.1.23 </w:t>
      </w:r>
      <w:r>
        <w:rPr>
          <w:rFonts w:ascii="Arial" w:hAnsi="Arial" w:cs="Arial"/>
          <w:bCs/>
          <w:iCs/>
          <w:lang w:val="pt-BR" w:eastAsia="zh-CN"/>
        </w:rPr>
        <w:t xml:space="preserve">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40A93E16">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3.1.24 </w:t>
      </w:r>
      <w:r>
        <w:rPr>
          <w:rFonts w:ascii="Arial" w:hAnsi="Arial" w:cs="Arial"/>
          <w:bCs/>
          <w:iCs/>
          <w:lang w:val="pt-BR" w:eastAsia="zh-CN"/>
        </w:rPr>
        <w:t xml:space="preserve"> O custo referente ao transporte dos objetos cobertos pela garantia será de responsabilidade do Contratado;</w:t>
      </w:r>
    </w:p>
    <w:p w14:paraId="73066582">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3.1.25 </w:t>
      </w:r>
      <w:r>
        <w:rPr>
          <w:rFonts w:ascii="Arial" w:hAnsi="Arial" w:cs="Arial"/>
          <w:bCs/>
          <w:iCs/>
          <w:lang w:val="pt-BR" w:eastAsia="zh-CN"/>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3FDBF579">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lang w:val="pt-BR" w:eastAsia="zh-CN"/>
        </w:rPr>
      </w:pPr>
      <w:r>
        <w:rPr>
          <w:rFonts w:hint="default" w:ascii="Arial" w:hAnsi="Arial" w:cs="Arial"/>
          <w:bCs/>
          <w:iCs/>
          <w:u w:val="single"/>
          <w:lang w:val="pt-BR" w:eastAsia="zh-CN"/>
        </w:rPr>
        <w:t xml:space="preserve">3.2 </w:t>
      </w:r>
      <w:r>
        <w:rPr>
          <w:rFonts w:ascii="Arial" w:hAnsi="Arial" w:cs="Arial"/>
          <w:bCs/>
          <w:iCs/>
          <w:u w:val="single"/>
          <w:lang w:val="pt-BR" w:eastAsia="zh-CN"/>
        </w:rPr>
        <w:t>MODELO DE GESTÃO DO CONTRATO (art. 6º, XXIII, alínea “f”, da Lei nº 14.133/21)</w:t>
      </w:r>
      <w:r>
        <w:rPr>
          <w:rFonts w:hint="default" w:ascii="Arial" w:hAnsi="Arial" w:cs="Arial"/>
          <w:bCs/>
          <w:iCs/>
          <w:u w:val="single"/>
          <w:lang w:val="pt-BR" w:eastAsia="zh-CN"/>
        </w:rPr>
        <w:t>:</w:t>
      </w:r>
    </w:p>
    <w:p w14:paraId="020B65C1">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3.2.1</w:t>
      </w:r>
      <w:r>
        <w:rPr>
          <w:rFonts w:ascii="Arial" w:hAnsi="Arial" w:cs="Arial"/>
          <w:bCs/>
          <w:iCs/>
          <w:lang w:val="pt-BR" w:eastAsia="zh-CN"/>
        </w:rPr>
        <w:t xml:space="preserve"> O contrato deverá ser executado fielmente pelas partes, de acordo com as cláusulas avençadas e as normas da Lei nº 14.133, de 2021, e cada parte responderá pelas consequências de sua inexecução total ou parcial (Lei nº 14.133/2021, art. 115, caput);</w:t>
      </w:r>
    </w:p>
    <w:p w14:paraId="79ED62D7">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3.2.2 </w:t>
      </w:r>
      <w:r>
        <w:rPr>
          <w:rFonts w:ascii="Arial" w:hAnsi="Arial" w:cs="Arial"/>
          <w:bCs/>
          <w:iCs/>
          <w:lang w:val="pt-BR" w:eastAsia="zh-CN"/>
        </w:rPr>
        <w:t>Em caso de impedimento, ordem de paralisação ou suspensão do contrato, o cronograma de execução será prorrogado automaticamente pelo tempo correspondente, anotadas tais circunstâncias mediante simples apostila (Lei nº 14.133/2021, art. 115, §5º).</w:t>
      </w:r>
    </w:p>
    <w:p w14:paraId="1EB434BB">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3.2.3</w:t>
      </w:r>
      <w:r>
        <w:rPr>
          <w:rFonts w:ascii="Arial" w:hAnsi="Arial" w:cs="Arial"/>
          <w:bCs/>
          <w:iCs/>
          <w:lang w:val="pt-BR" w:eastAsia="zh-CN"/>
        </w:rPr>
        <w:t xml:space="preserve"> A execução do contrato deverá ser acompanhada e fiscalizada pelo(s) fiscal(is) do contrato, ou pelos respectivos substitutos (Lei nº 14.133/2021, art. 117, caput);</w:t>
      </w:r>
    </w:p>
    <w:p w14:paraId="7C1430BE">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3.2.4 </w:t>
      </w:r>
      <w:r>
        <w:rPr>
          <w:rFonts w:ascii="Arial" w:hAnsi="Arial" w:cs="Arial"/>
          <w:bCs/>
          <w:iCs/>
          <w:lang w:val="pt-BR" w:eastAsia="zh-CN"/>
        </w:rPr>
        <w:t>O fiscal do contrato anotará em registro próprio todas as ocorrências relacionadas à execução do contrato, determinando o que for necessário para a regularização das faltas ou dos defeitos observados (Lei nº 14.133/2021, art. 117, §1º).</w:t>
      </w:r>
    </w:p>
    <w:p w14:paraId="748C9393">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3.2.5 </w:t>
      </w:r>
      <w:r>
        <w:rPr>
          <w:rFonts w:ascii="Arial" w:hAnsi="Arial" w:cs="Arial"/>
          <w:bCs/>
          <w:iCs/>
          <w:lang w:val="pt-BR" w:eastAsia="zh-CN"/>
        </w:rPr>
        <w:t>O fiscal do contrato informará a seus superiores, em tempo hábil para a adoção das medidas convenientes, a situação que demandar decisão ou providência que ultrapasse sua competência (Lei nº 14.133/2021, art. 117, §2º);</w:t>
      </w:r>
    </w:p>
    <w:p w14:paraId="54946AC2">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3.2.6 </w:t>
      </w:r>
      <w:r>
        <w:rPr>
          <w:rFonts w:ascii="Arial" w:hAnsi="Arial" w:cs="Arial"/>
          <w:bCs/>
          <w:iCs/>
          <w:lang w:val="pt-BR" w:eastAsia="zh-CN"/>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7FFDF8A">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3.2.7 </w:t>
      </w:r>
      <w:r>
        <w:rPr>
          <w:rFonts w:ascii="Arial" w:hAnsi="Arial" w:cs="Arial"/>
          <w:bCs/>
          <w:iCs/>
          <w:lang w:val="pt-BR" w:eastAsia="zh-CN"/>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7E5BA52B">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3.2.8</w:t>
      </w:r>
      <w:r>
        <w:rPr>
          <w:rFonts w:ascii="Arial" w:hAnsi="Arial" w:cs="Arial"/>
          <w:bCs/>
          <w:iCs/>
          <w:lang w:val="pt-BR" w:eastAsia="zh-CN"/>
        </w:rPr>
        <w:t xml:space="preserve"> Somente o contratado será responsável pelos encargos trabalhistas, previdenciários, fiscais e comerciais resultantes da execução do contrato (Lei nº 14.133/2021, art. 121, caput);</w:t>
      </w:r>
    </w:p>
    <w:p w14:paraId="6535467E">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3.2.9</w:t>
      </w:r>
      <w:r>
        <w:rPr>
          <w:rFonts w:ascii="Arial" w:hAnsi="Arial" w:cs="Arial"/>
          <w:bCs/>
          <w:iCs/>
          <w:lang w:val="pt-BR" w:eastAsia="zh-CN"/>
        </w:rPr>
        <w:t xml:space="preserve"> A inadimplência do contratado em relação aos encargos trabalhistas, fiscais e comerciais não transferirá à Administração a responsabilidade pelo seu pagamento e não poderá onerar o objeto do contrato (Lei nº 14.133/2021, art. 121, §1º);</w:t>
      </w:r>
    </w:p>
    <w:p w14:paraId="797D68E7">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3.2.10 </w:t>
      </w:r>
      <w:r>
        <w:rPr>
          <w:rFonts w:ascii="Arial" w:hAnsi="Arial" w:cs="Arial"/>
          <w:bCs/>
          <w:iCs/>
          <w:lang w:val="pt-BR" w:eastAsia="zh-CN"/>
        </w:rPr>
        <w:t xml:space="preserve"> As comunicações entre o órgão ou entidade e a contratada devem ser realizadas por escrito sempre que o ato exigir tal formalidade, admitindo-se, excepcionalmente, o uso de mensagem eletrônica para esse fim (IN 5/2017, art. 44, §2º)</w:t>
      </w:r>
    </w:p>
    <w:p w14:paraId="74BC68FE">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zh-CN"/>
        </w:rPr>
        <w:t xml:space="preserve">3.2.11 </w:t>
      </w:r>
      <w:r>
        <w:rPr>
          <w:rFonts w:ascii="Arial" w:hAnsi="Arial" w:cs="Arial"/>
          <w:bCs/>
          <w:iCs/>
          <w:lang w:val="pt-BR" w:eastAsia="zh-CN"/>
        </w:rPr>
        <w:t>O órgão ou entidade poderá convocar representante da empresa para adoção de providências que devam ser cumpridas de imediato (IN 5/2017, art. 44, 31º).</w:t>
      </w:r>
    </w:p>
    <w:p w14:paraId="29949807">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en-US"/>
        </w:rPr>
      </w:pPr>
      <w:r>
        <w:rPr>
          <w:rFonts w:hint="default" w:ascii="Arial" w:hAnsi="Arial" w:cs="Arial"/>
          <w:bCs/>
          <w:iCs/>
          <w:lang w:val="pt-BR" w:eastAsia="zh-CN"/>
        </w:rPr>
        <w:t xml:space="preserve">3.2.12 </w:t>
      </w:r>
      <w:r>
        <w:rPr>
          <w:rFonts w:ascii="Arial" w:hAnsi="Arial" w:cs="Arial"/>
          <w:bCs/>
          <w:iCs/>
          <w:lang w:val="pt-BR" w:eastAsia="zh-CN"/>
        </w:rPr>
        <w:t>Serão exigidos as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5FC66C72">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en-US"/>
        </w:rPr>
      </w:pPr>
      <w:r>
        <w:rPr>
          <w:rFonts w:hint="default" w:ascii="Arial" w:hAnsi="Arial" w:cs="Arial"/>
          <w:bCs/>
          <w:iCs/>
          <w:lang w:val="pt-BR" w:eastAsia="en-US"/>
        </w:rPr>
        <w:t>3.2.13</w:t>
      </w:r>
      <w:r>
        <w:rPr>
          <w:rFonts w:ascii="Arial" w:hAnsi="Arial" w:cs="Arial"/>
          <w:bCs/>
          <w:iCs/>
          <w:lang w:val="pt-BR" w:eastAsia="en-US"/>
        </w:rPr>
        <w:t xml:space="preserve">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 14.133/21;</w:t>
      </w:r>
    </w:p>
    <w:p w14:paraId="09964A52">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en-US"/>
        </w:rPr>
      </w:pPr>
      <w:r>
        <w:rPr>
          <w:rFonts w:hint="default" w:ascii="Arial" w:hAnsi="Arial" w:cs="Arial"/>
          <w:bCs/>
          <w:iCs/>
          <w:lang w:val="pt-BR" w:eastAsia="en-US"/>
        </w:rPr>
        <w:t xml:space="preserve">3.2.14 </w:t>
      </w:r>
      <w:r>
        <w:rPr>
          <w:rFonts w:ascii="Arial" w:hAnsi="Arial" w:cs="Arial"/>
          <w:bCs/>
          <w:iCs/>
          <w:lang w:val="pt-BR" w:eastAsia="en-US"/>
        </w:rPr>
        <w:t>Para o acompanhamento, gestão e fiscalização da execução do presente contrato, serão designados em momento posterior, antes da execução do objeto, agentes públicos gestor/gestor substituto e fiscal/ fiscal substituto;</w:t>
      </w:r>
    </w:p>
    <w:p w14:paraId="0070FE65">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en-US"/>
        </w:rPr>
      </w:pPr>
      <w:r>
        <w:rPr>
          <w:rFonts w:hint="default" w:ascii="Arial" w:hAnsi="Arial" w:cs="Arial"/>
          <w:bCs/>
          <w:iCs/>
          <w:lang w:val="pt-BR" w:eastAsia="en-US"/>
        </w:rPr>
        <w:t xml:space="preserve">3.2.15 </w:t>
      </w:r>
      <w:r>
        <w:rPr>
          <w:rFonts w:ascii="Arial" w:hAnsi="Arial" w:cs="Arial"/>
          <w:bCs/>
          <w:iCs/>
          <w:lang w:val="pt-BR" w:eastAsia="en-US"/>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5A1729B7">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en-US"/>
        </w:rPr>
      </w:pPr>
      <w:r>
        <w:rPr>
          <w:rFonts w:hint="default" w:ascii="Arial" w:hAnsi="Arial" w:cs="Arial"/>
          <w:bCs/>
          <w:iCs/>
          <w:lang w:val="pt-BR" w:eastAsia="en-US"/>
        </w:rPr>
        <w:t xml:space="preserve">3.2.16 </w:t>
      </w:r>
      <w:r>
        <w:rPr>
          <w:rFonts w:ascii="Arial" w:hAnsi="Arial" w:cs="Arial"/>
          <w:bCs/>
          <w:iCs/>
          <w:lang w:val="pt-BR" w:eastAsia="en-US"/>
        </w:rPr>
        <w:t xml:space="preserve"> O(s) fiscal(is) designado pela Contratante deverá ter a experiência necessária para o acompanhamento e controle da execução dos serviços e do contrato;</w:t>
      </w:r>
    </w:p>
    <w:p w14:paraId="23E07D2C">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en-US"/>
        </w:rPr>
      </w:pPr>
      <w:r>
        <w:rPr>
          <w:rFonts w:hint="default" w:ascii="Arial" w:hAnsi="Arial" w:cs="Arial"/>
          <w:bCs/>
          <w:iCs/>
          <w:lang w:val="pt-BR" w:eastAsia="en-US"/>
        </w:rPr>
        <w:t xml:space="preserve">3.2.17 </w:t>
      </w:r>
      <w:r>
        <w:rPr>
          <w:rFonts w:ascii="Arial" w:hAnsi="Arial" w:cs="Arial"/>
          <w:bCs/>
          <w:iCs/>
          <w:lang w:val="pt-BR" w:eastAsia="en-US"/>
        </w:rPr>
        <w:t>A verificação da adequação da prestação do serviço deverá ser realizada com base nos critérios previstos neste Termo de Referência;</w:t>
      </w:r>
    </w:p>
    <w:p w14:paraId="382654E1">
      <w:pPr>
        <w:pStyle w:val="19"/>
        <w:widowControl/>
        <w:numPr>
          <w:ilvl w:val="0"/>
          <w:numId w:val="0"/>
        </w:numPr>
        <w:tabs>
          <w:tab w:val="left" w:pos="426"/>
        </w:tabs>
        <w:autoSpaceDE/>
        <w:autoSpaceDN/>
        <w:spacing w:before="120" w:after="120" w:line="276" w:lineRule="auto"/>
        <w:ind w:leftChars="0"/>
        <w:jc w:val="both"/>
        <w:rPr>
          <w:rFonts w:ascii="Arial" w:hAnsi="Arial" w:cs="Arial"/>
          <w:bCs/>
          <w:iCs/>
          <w:lang w:val="pt-BR" w:eastAsia="zh-CN"/>
        </w:rPr>
      </w:pPr>
      <w:r>
        <w:rPr>
          <w:rFonts w:hint="default" w:ascii="Arial" w:hAnsi="Arial" w:cs="Arial"/>
          <w:bCs/>
          <w:iCs/>
          <w:lang w:val="pt-BR" w:eastAsia="en-US"/>
        </w:rPr>
        <w:t xml:space="preserve">3.2.18 </w:t>
      </w:r>
      <w:r>
        <w:rPr>
          <w:rFonts w:ascii="Arial" w:hAnsi="Arial" w:cs="Arial"/>
          <w:bCs/>
          <w:iCs/>
          <w:lang w:val="pt-BR" w:eastAsia="en-US"/>
        </w:rPr>
        <w:t xml:space="preserve">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6525E099">
      <w:pPr>
        <w:pStyle w:val="19"/>
        <w:widowControl/>
        <w:tabs>
          <w:tab w:val="left" w:pos="426"/>
        </w:tabs>
        <w:autoSpaceDE/>
        <w:autoSpaceDN/>
        <w:spacing w:before="120" w:after="120" w:line="276" w:lineRule="auto"/>
        <w:ind w:left="0"/>
        <w:jc w:val="both"/>
        <w:rPr>
          <w:rFonts w:ascii="Arial" w:hAnsi="Arial" w:cs="Arial"/>
          <w:bCs/>
          <w:iCs/>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28716DA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A(s) Nota(s) Fiscal(is) deverá ser emitida em nome de: MUNICÍPIO DE NOVA FRIBURGO, CNPJ: 28.606.630/0001-23, ENDEREÇO: AVENIDA ALBERTO BRAUNE, 225, CENTRO,NOVA FRIBURGO - RJ, CEP: 28613-001.</w:t>
      </w:r>
    </w:p>
    <w:p w14:paraId="6AC30F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Todos os materiais serão recebidos no Almoxarifado da Secretaria de Educação, conforme solicitação, no seguinte endereço: </w:t>
      </w:r>
    </w:p>
    <w:tbl>
      <w:tblPr>
        <w:tblStyle w:val="6"/>
        <w:tblW w:w="0" w:type="auto"/>
        <w:tblInd w:w="783" w:type="dxa"/>
        <w:tblLayout w:type="fixed"/>
        <w:tblCellMar>
          <w:top w:w="0" w:type="dxa"/>
          <w:left w:w="108" w:type="dxa"/>
          <w:bottom w:w="0" w:type="dxa"/>
          <w:right w:w="108" w:type="dxa"/>
        </w:tblCellMar>
      </w:tblPr>
      <w:tblGrid>
        <w:gridCol w:w="2623"/>
        <w:gridCol w:w="6419"/>
      </w:tblGrid>
      <w:tr w14:paraId="2683F4BE">
        <w:tblPrEx>
          <w:tblCellMar>
            <w:top w:w="0" w:type="dxa"/>
            <w:left w:w="108" w:type="dxa"/>
            <w:bottom w:w="0" w:type="dxa"/>
            <w:right w:w="108" w:type="dxa"/>
          </w:tblCellMar>
        </w:tblPrEx>
        <w:trPr>
          <w:trHeight w:val="2278" w:hRule="atLeast"/>
        </w:trPr>
        <w:tc>
          <w:tcPr>
            <w:tcW w:w="2623" w:type="dxa"/>
            <w:tcBorders>
              <w:top w:val="single" w:color="000000" w:sz="4" w:space="0"/>
              <w:bottom w:val="single" w:color="000000" w:sz="4" w:space="0"/>
            </w:tcBorders>
            <w:noWrap w:val="0"/>
            <w:vAlign w:val="center"/>
          </w:tcPr>
          <w:p w14:paraId="27C6D782">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Endereço:</w:t>
            </w:r>
          </w:p>
        </w:tc>
        <w:tc>
          <w:tcPr>
            <w:tcW w:w="6419" w:type="dxa"/>
            <w:tcBorders>
              <w:top w:val="single" w:color="000000" w:sz="4" w:space="0"/>
              <w:bottom w:val="single" w:color="000000" w:sz="4" w:space="0"/>
            </w:tcBorders>
            <w:noWrap w:val="0"/>
            <w:vAlign w:val="center"/>
          </w:tcPr>
          <w:p w14:paraId="5361A773">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Avenida Antônio Mario de Azevedo, nº. 2.838, Área Via-A, Córrego D’Antas - Nova Friburgo - RJ - Cep: 28.630-310</w:t>
            </w:r>
          </w:p>
          <w:p w14:paraId="5252040A">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Tel: (22) 2529-3388</w:t>
            </w:r>
          </w:p>
          <w:p w14:paraId="0B0171E0">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Ref: Estrada Friburgo - Teresópolis, km 2 - Antiga Nacif Papeis (Ao lado do Motel  Happy End).</w:t>
            </w:r>
          </w:p>
        </w:tc>
      </w:tr>
      <w:tr w14:paraId="50EBFB52">
        <w:tblPrEx>
          <w:tblCellMar>
            <w:top w:w="0" w:type="dxa"/>
            <w:left w:w="108" w:type="dxa"/>
            <w:bottom w:w="0" w:type="dxa"/>
            <w:right w:w="108" w:type="dxa"/>
          </w:tblCellMar>
        </w:tblPrEx>
        <w:trPr>
          <w:trHeight w:val="915" w:hRule="atLeast"/>
        </w:trPr>
        <w:tc>
          <w:tcPr>
            <w:tcW w:w="2623" w:type="dxa"/>
            <w:tcBorders>
              <w:top w:val="single" w:color="000000" w:sz="4" w:space="0"/>
              <w:bottom w:val="single" w:color="000000" w:sz="4" w:space="0"/>
            </w:tcBorders>
            <w:noWrap w:val="0"/>
            <w:vAlign w:val="center"/>
          </w:tcPr>
          <w:p w14:paraId="27A3DAFE">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Horário de entrega e        descarga:</w:t>
            </w:r>
          </w:p>
        </w:tc>
        <w:tc>
          <w:tcPr>
            <w:tcW w:w="6419" w:type="dxa"/>
            <w:tcBorders>
              <w:top w:val="single" w:color="000000" w:sz="4" w:space="0"/>
              <w:bottom w:val="single" w:color="000000" w:sz="4" w:space="0"/>
            </w:tcBorders>
            <w:noWrap w:val="0"/>
            <w:vAlign w:val="center"/>
          </w:tcPr>
          <w:p w14:paraId="3A2A30CA">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de 07:30 até às 14:30 horas - de segunda a quinta-feira (impreterivelmente).</w:t>
            </w:r>
          </w:p>
          <w:p w14:paraId="4BFAA9A7">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 xml:space="preserve">É IMPRESCINDÍVEL O AGENDAMENTO PARA ENTREGA PELO </w:t>
            </w:r>
          </w:p>
          <w:p w14:paraId="022D19C6">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TEL: (22) 2529-3388 ou pelo E-mail: almoxarifado@sme.novafriburgo.rj.gov.br</w:t>
            </w:r>
          </w:p>
        </w:tc>
      </w:tr>
    </w:tbl>
    <w:p w14:paraId="7ADECF8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eastAsia="en-US"/>
        </w:rPr>
      </w:pPr>
      <w:r>
        <w:rPr>
          <w:rFonts w:ascii="Arial" w:hAnsi="Arial" w:cs="Arial"/>
          <w:bCs/>
          <w:iCs/>
          <w:color w:val="auto"/>
        </w:rPr>
        <w:t xml:space="preserve"> Da liquidação da despesa:</w:t>
      </w:r>
    </w:p>
    <w:p w14:paraId="4EF322D9">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lang w:eastAsia="en-US"/>
        </w:rPr>
      </w:pPr>
      <w:r>
        <w:rPr>
          <w:rFonts w:hint="default" w:ascii="Arial" w:hAnsi="Arial" w:cs="Arial"/>
          <w:bCs/>
          <w:iCs/>
          <w:color w:val="auto"/>
          <w:lang w:val="pt-BR" w:eastAsia="en-US"/>
        </w:rPr>
        <w:t>6.3.1</w:t>
      </w:r>
      <w:r>
        <w:rPr>
          <w:rFonts w:ascii="Arial" w:hAnsi="Arial" w:cs="Arial"/>
          <w:bCs/>
          <w:iCs/>
          <w:color w:val="auto"/>
          <w:lang w:eastAsia="en-US"/>
        </w:rPr>
        <w:t xml:space="preserve"> A liquidação será realizada pela Secretaria de Fazenda a partir do cumprimento das obrigações elencadas neste Termo de Referência em obediência ao Decreto nº 2493, de 07 de novembro de 2023 e ao Decreto nº 3116 de 18 de setembro de 2024;</w:t>
      </w:r>
    </w:p>
    <w:p w14:paraId="5115BED0">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6.3.2</w:t>
      </w:r>
      <w:r>
        <w:rPr>
          <w:rFonts w:ascii="Arial" w:hAnsi="Arial" w:cs="Arial"/>
          <w:bCs/>
          <w:iCs/>
          <w:color w:val="auto"/>
          <w:lang w:eastAsia="en-US"/>
        </w:rPr>
        <w:t xml:space="preserve"> </w:t>
      </w:r>
      <w:r>
        <w:rPr>
          <w:rFonts w:ascii="Arial" w:hAnsi="Arial" w:cs="Arial"/>
          <w:bCs/>
          <w:iCs/>
          <w:color w:val="auto"/>
        </w:rPr>
        <w:t>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w:t>
      </w:r>
    </w:p>
    <w:p w14:paraId="29C18E0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eastAsia="en-US"/>
        </w:rPr>
      </w:pPr>
      <w:r>
        <w:rPr>
          <w:rFonts w:ascii="Arial" w:hAnsi="Arial" w:cs="Arial"/>
          <w:bCs/>
          <w:iCs/>
          <w:color w:val="auto"/>
        </w:rPr>
        <w:t>Do pagamento da despesa:</w:t>
      </w:r>
    </w:p>
    <w:p w14:paraId="493D1625">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 xml:space="preserve">6.4.1 </w:t>
      </w:r>
      <w:r>
        <w:rPr>
          <w:rFonts w:ascii="Arial" w:hAnsi="Arial" w:cs="Arial"/>
          <w:bCs/>
          <w:iCs/>
          <w:color w:val="auto"/>
          <w:lang w:eastAsia="en-US"/>
        </w:rPr>
        <w:t>O pagamento será efetuado conforme estabelecido no Decreto Municipal nº 2493, de 07 de novembro de 2023, desde que as certidões listadas abaixo estejam dentro da validade</w:t>
      </w:r>
      <w:r>
        <w:rPr>
          <w:rFonts w:ascii="Arial" w:hAnsi="Arial" w:cs="Arial"/>
          <w:bCs/>
          <w:iCs/>
          <w:color w:val="auto"/>
        </w:rPr>
        <w:t xml:space="preserve">: </w:t>
      </w:r>
    </w:p>
    <w:p w14:paraId="031A046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 Negativa de Débitos Trabalhistas;</w:t>
      </w:r>
    </w:p>
    <w:p w14:paraId="242F462E">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 Fazenda Federal – abrange as contribuições sociais;</w:t>
      </w:r>
    </w:p>
    <w:p w14:paraId="01EF625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 FGTS;</w:t>
      </w:r>
    </w:p>
    <w:p w14:paraId="0EA58968">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 PGE – referente à Dívida Ativa Estadual;</w:t>
      </w:r>
    </w:p>
    <w:p w14:paraId="115D20DF">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 Municipal – referente ao ISS e Dívida Ativa;</w:t>
      </w:r>
    </w:p>
    <w:p w14:paraId="06600E5F">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 Estadual CND – referente ao ICMS.</w:t>
      </w:r>
    </w:p>
    <w:p w14:paraId="21023C42">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6.4.2 </w:t>
      </w:r>
      <w:r>
        <w:rPr>
          <w:rFonts w:ascii="Arial" w:hAnsi="Arial" w:cs="Arial"/>
          <w:bCs/>
          <w:iCs/>
          <w:color w:val="auto"/>
        </w:rPr>
        <w:t xml:space="preserve">A Nota Fiscal deverá conter a identificação do Banco, número da Agência e da Conta Corrente, para que possibilite o CONTRATANTE efetuar o pagamento do valor devido; </w:t>
      </w:r>
    </w:p>
    <w:p w14:paraId="1F4CEB5E">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6.4.3 </w:t>
      </w:r>
      <w:r>
        <w:rPr>
          <w:rFonts w:ascii="Arial" w:hAnsi="Arial" w:cs="Arial"/>
          <w:bCs/>
          <w:iCs/>
          <w:color w:val="auto"/>
        </w:rPr>
        <w:t>Na ocorrência de rejeição da(s) Nota(s) Fiscal(is), motivada por erro ou incorreções, o prazo para pagamento estipulado acima passará a ser contado a partir da data de sua reapresentação;</w:t>
      </w:r>
    </w:p>
    <w:p w14:paraId="1FB96751">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6.4.4</w:t>
      </w:r>
      <w:r>
        <w:rPr>
          <w:rFonts w:ascii="Arial" w:hAnsi="Arial" w:cs="Arial"/>
          <w:bCs/>
          <w:iCs/>
          <w:color w:val="auto"/>
        </w:rPr>
        <w:t xml:space="preserve">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27A9A8B0">
      <w:pPr>
        <w:pStyle w:val="19"/>
        <w:widowControl/>
        <w:numPr>
          <w:ilvl w:val="0"/>
          <w:numId w:val="0"/>
        </w:numPr>
        <w:tabs>
          <w:tab w:val="left" w:pos="426"/>
        </w:tabs>
        <w:autoSpaceDE/>
        <w:autoSpaceDN/>
        <w:spacing w:before="120" w:after="120" w:line="276" w:lineRule="auto"/>
        <w:ind w:leftChars="0"/>
        <w:jc w:val="both"/>
        <w:rPr>
          <w:rFonts w:ascii="Arial" w:hAnsi="Arial" w:cs="Arial" w:eastAsiaTheme="majorEastAsia"/>
          <w:b/>
          <w:bCs/>
          <w:lang w:val="pt-BR" w:eastAsia="pt-BR"/>
        </w:rPr>
      </w:pPr>
      <w:r>
        <w:rPr>
          <w:rFonts w:hint="default" w:ascii="Arial" w:hAnsi="Arial" w:cs="Arial"/>
          <w:bCs/>
          <w:iCs/>
          <w:color w:val="auto"/>
          <w:lang w:val="pt-BR"/>
        </w:rPr>
        <w:t>6.4.5</w:t>
      </w:r>
      <w:r>
        <w:rPr>
          <w:rFonts w:ascii="Arial" w:hAnsi="Arial" w:cs="Arial"/>
          <w:bCs/>
          <w:iCs/>
          <w:color w:val="auto"/>
        </w:rPr>
        <w:t xml:space="preserve">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065A72ED">
      <w:pPr>
        <w:pStyle w:val="19"/>
        <w:tabs>
          <w:tab w:val="left" w:pos="284"/>
        </w:tabs>
        <w:spacing w:line="276" w:lineRule="auto"/>
        <w:ind w:left="0"/>
        <w:jc w:val="both"/>
        <w:rPr>
          <w:rFonts w:ascii="Arial" w:hAnsi="Arial" w:cs="Arial" w:eastAsiaTheme="majorEastAsia"/>
          <w:b/>
          <w:bCs/>
          <w:lang w:val="pt-BR"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color w:val="auto"/>
          <w:lang w:val="pt-BR" w:eastAsia="pt-BR"/>
        </w:rPr>
      </w:pPr>
      <w:r>
        <w:rPr>
          <w:rFonts w:ascii="Arial" w:hAnsi="Arial" w:cs="Arial" w:eastAsiaTheme="majorEastAsia"/>
          <w:b/>
          <w:bCs/>
          <w:color w:val="auto"/>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 Brasileiro de Geografia e Estatística (IBGE)</w:t>
      </w:r>
      <w:r>
        <w:rPr>
          <w:rFonts w:ascii="Arial" w:hAnsi="Arial" w:cs="Arial"/>
          <w:bCs/>
          <w:iCs/>
          <w:color w:val="auto"/>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3"/>
        </w:numPr>
        <w:rPr>
          <w:sz w:val="22"/>
          <w:szCs w:val="22"/>
        </w:rPr>
      </w:pPr>
      <w:r>
        <w:rPr>
          <w:sz w:val="22"/>
          <w:szCs w:val="22"/>
        </w:rPr>
        <w:t xml:space="preserve">Guardar sigilo sobre todas as informações obtidas em decorrência do cumprimento do contrato; </w:t>
      </w:r>
    </w:p>
    <w:p w14:paraId="65F8514E">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4DC81C9C">
      <w:pPr>
        <w:pStyle w:val="19"/>
        <w:numPr>
          <w:ilvl w:val="0"/>
          <w:numId w:val="0"/>
        </w:numPr>
        <w:tabs>
          <w:tab w:val="left" w:pos="426"/>
        </w:tabs>
        <w:ind w:leftChars="0"/>
        <w:jc w:val="both"/>
        <w:rPr>
          <w:rFonts w:ascii="Arial" w:hAnsi="Arial" w:cs="Arial"/>
        </w:rPr>
      </w:pPr>
      <w:r>
        <w:rPr>
          <w:rFonts w:hint="default" w:ascii="Arial" w:hAnsi="Arial" w:cs="Arial"/>
          <w:lang w:val="pt-BR"/>
        </w:rPr>
        <w:t xml:space="preserve">13.1 </w:t>
      </w:r>
      <w:r>
        <w:rPr>
          <w:rFonts w:ascii="Arial" w:hAnsi="Arial" w:cs="Arial"/>
        </w:rPr>
        <w:t>As despesas decorrentes da presente contratação, previstos no presente Termo de Referência, correrão por conta de recursos específicos consignados no Orçamento do Município, fonte de recurso e programa de trabalho, conforme especificado a seguir:</w:t>
      </w:r>
    </w:p>
    <w:p w14:paraId="638D0874">
      <w:pPr>
        <w:pStyle w:val="19"/>
        <w:numPr>
          <w:ilvl w:val="0"/>
          <w:numId w:val="0"/>
        </w:numPr>
        <w:tabs>
          <w:tab w:val="left" w:pos="426"/>
        </w:tabs>
        <w:ind w:leftChars="0"/>
        <w:jc w:val="both"/>
        <w:rPr>
          <w:rFonts w:ascii="Arial" w:hAnsi="Arial" w:cs="Arial"/>
        </w:rPr>
      </w:pPr>
    </w:p>
    <w:tbl>
      <w:tblPr>
        <w:tblStyle w:val="6"/>
        <w:tblW w:w="0" w:type="auto"/>
        <w:jc w:val="center"/>
        <w:tblLayout w:type="fixed"/>
        <w:tblCellMar>
          <w:top w:w="0" w:type="dxa"/>
          <w:left w:w="108" w:type="dxa"/>
          <w:bottom w:w="0" w:type="dxa"/>
          <w:right w:w="108" w:type="dxa"/>
        </w:tblCellMar>
      </w:tblPr>
      <w:tblGrid>
        <w:gridCol w:w="885"/>
        <w:gridCol w:w="3773"/>
        <w:gridCol w:w="18"/>
        <w:gridCol w:w="4497"/>
      </w:tblGrid>
      <w:tr w14:paraId="4BA65088">
        <w:tblPrEx>
          <w:tblCellMar>
            <w:top w:w="0" w:type="dxa"/>
            <w:left w:w="108" w:type="dxa"/>
            <w:bottom w:w="0" w:type="dxa"/>
            <w:right w:w="108" w:type="dxa"/>
          </w:tblCellMar>
        </w:tblPrEx>
        <w:trPr>
          <w:jc w:val="center"/>
        </w:trPr>
        <w:tc>
          <w:tcPr>
            <w:tcW w:w="885" w:type="dxa"/>
            <w:tcBorders>
              <w:top w:val="single" w:color="000000" w:sz="4" w:space="0"/>
              <w:left w:val="single" w:color="000000" w:sz="4" w:space="0"/>
              <w:bottom w:val="single" w:color="000000" w:sz="4" w:space="0"/>
            </w:tcBorders>
            <w:noWrap w:val="0"/>
            <w:vAlign w:val="center"/>
          </w:tcPr>
          <w:p w14:paraId="5A61F4C8">
            <w:pPr>
              <w:pStyle w:val="19"/>
              <w:numPr>
                <w:ilvl w:val="1"/>
                <w:numId w:val="3"/>
              </w:numPr>
              <w:tabs>
                <w:tab w:val="left" w:pos="426"/>
              </w:tabs>
              <w:ind w:left="0" w:firstLine="0"/>
              <w:jc w:val="both"/>
              <w:rPr>
                <w:rFonts w:ascii="Arial" w:hAnsi="Arial" w:cs="Arial"/>
              </w:rPr>
            </w:pPr>
          </w:p>
        </w:tc>
        <w:tc>
          <w:tcPr>
            <w:tcW w:w="3773" w:type="dxa"/>
            <w:tcBorders>
              <w:top w:val="single" w:color="000000" w:sz="4" w:space="0"/>
              <w:bottom w:val="single" w:color="000000" w:sz="4" w:space="0"/>
            </w:tcBorders>
            <w:noWrap w:val="0"/>
            <w:vAlign w:val="center"/>
          </w:tcPr>
          <w:p w14:paraId="2FFD7B41">
            <w:pPr>
              <w:pStyle w:val="19"/>
              <w:numPr>
                <w:ilvl w:val="0"/>
                <w:numId w:val="0"/>
              </w:numPr>
              <w:tabs>
                <w:tab w:val="left" w:pos="426"/>
              </w:tabs>
              <w:ind w:leftChars="0"/>
              <w:jc w:val="both"/>
              <w:rPr>
                <w:rFonts w:ascii="Arial" w:hAnsi="Arial" w:cs="Arial"/>
              </w:rPr>
            </w:pPr>
            <w:r>
              <w:rPr>
                <w:rFonts w:ascii="Arial" w:hAnsi="Arial" w:cs="Arial"/>
              </w:rPr>
              <w:t xml:space="preserve">Órgão/unidade Orçamentária: </w:t>
            </w:r>
          </w:p>
        </w:tc>
        <w:tc>
          <w:tcPr>
            <w:tcW w:w="4515" w:type="dxa"/>
            <w:gridSpan w:val="2"/>
            <w:tcBorders>
              <w:top w:val="single" w:color="000000" w:sz="4" w:space="0"/>
              <w:bottom w:val="single" w:color="000000" w:sz="4" w:space="0"/>
              <w:right w:val="single" w:color="000000" w:sz="4" w:space="0"/>
            </w:tcBorders>
            <w:noWrap w:val="0"/>
            <w:vAlign w:val="center"/>
          </w:tcPr>
          <w:p w14:paraId="0B7E1454">
            <w:pPr>
              <w:pStyle w:val="19"/>
              <w:numPr>
                <w:ilvl w:val="0"/>
                <w:numId w:val="0"/>
              </w:numPr>
              <w:tabs>
                <w:tab w:val="left" w:pos="426"/>
              </w:tabs>
              <w:ind w:leftChars="0"/>
              <w:jc w:val="both"/>
              <w:rPr>
                <w:rFonts w:ascii="Arial" w:hAnsi="Arial" w:cs="Arial"/>
              </w:rPr>
            </w:pPr>
            <w:r>
              <w:rPr>
                <w:rFonts w:ascii="Arial" w:hAnsi="Arial" w:cs="Arial"/>
              </w:rPr>
              <w:t xml:space="preserve">Secretaria de Educação </w:t>
            </w:r>
          </w:p>
        </w:tc>
      </w:tr>
      <w:tr w14:paraId="73A16374">
        <w:tblPrEx>
          <w:tblCellMar>
            <w:top w:w="0" w:type="dxa"/>
            <w:left w:w="108" w:type="dxa"/>
            <w:bottom w:w="0" w:type="dxa"/>
            <w:right w:w="108" w:type="dxa"/>
          </w:tblCellMar>
        </w:tblPrEx>
        <w:trPr>
          <w:trHeight w:val="1662" w:hRule="atLeast"/>
          <w:jc w:val="center"/>
        </w:trPr>
        <w:tc>
          <w:tcPr>
            <w:tcW w:w="885" w:type="dxa"/>
            <w:tcBorders>
              <w:top w:val="single" w:color="000000" w:sz="4" w:space="0"/>
              <w:left w:val="single" w:color="000000" w:sz="4" w:space="0"/>
              <w:bottom w:val="single" w:color="000000" w:sz="4" w:space="0"/>
            </w:tcBorders>
            <w:noWrap w:val="0"/>
            <w:vAlign w:val="center"/>
          </w:tcPr>
          <w:p w14:paraId="469E56AD">
            <w:pPr>
              <w:pStyle w:val="19"/>
              <w:numPr>
                <w:ilvl w:val="1"/>
                <w:numId w:val="3"/>
              </w:numPr>
              <w:tabs>
                <w:tab w:val="left" w:pos="426"/>
              </w:tabs>
              <w:ind w:left="0" w:firstLine="0"/>
              <w:jc w:val="both"/>
              <w:rPr>
                <w:rFonts w:ascii="Arial" w:hAnsi="Arial" w:cs="Arial"/>
              </w:rPr>
            </w:pPr>
          </w:p>
        </w:tc>
        <w:tc>
          <w:tcPr>
            <w:tcW w:w="3773" w:type="dxa"/>
            <w:tcBorders>
              <w:top w:val="single" w:color="000000" w:sz="4" w:space="0"/>
              <w:bottom w:val="single" w:color="000000" w:sz="4" w:space="0"/>
            </w:tcBorders>
            <w:noWrap w:val="0"/>
            <w:vAlign w:val="center"/>
          </w:tcPr>
          <w:p w14:paraId="63CDAE8E">
            <w:pPr>
              <w:pStyle w:val="19"/>
              <w:numPr>
                <w:ilvl w:val="0"/>
                <w:numId w:val="0"/>
              </w:numPr>
              <w:tabs>
                <w:tab w:val="left" w:pos="426"/>
              </w:tabs>
              <w:ind w:leftChars="0"/>
              <w:jc w:val="both"/>
              <w:rPr>
                <w:rFonts w:ascii="Arial" w:hAnsi="Arial" w:cs="Arial"/>
              </w:rPr>
            </w:pPr>
            <w:r>
              <w:rPr>
                <w:rFonts w:ascii="Arial" w:hAnsi="Arial" w:cs="Arial"/>
              </w:rPr>
              <w:t>Programa de trabalho:</w:t>
            </w:r>
          </w:p>
        </w:tc>
        <w:tc>
          <w:tcPr>
            <w:tcW w:w="4515" w:type="dxa"/>
            <w:gridSpan w:val="2"/>
            <w:tcBorders>
              <w:top w:val="single" w:color="000000" w:sz="4" w:space="0"/>
              <w:bottom w:val="single" w:color="000000" w:sz="4" w:space="0"/>
              <w:right w:val="single" w:color="000000" w:sz="4" w:space="0"/>
            </w:tcBorders>
            <w:noWrap w:val="0"/>
            <w:vAlign w:val="center"/>
          </w:tcPr>
          <w:p w14:paraId="7138C761">
            <w:pPr>
              <w:pStyle w:val="19"/>
              <w:numPr>
                <w:ilvl w:val="0"/>
                <w:numId w:val="0"/>
              </w:numPr>
              <w:tabs>
                <w:tab w:val="left" w:pos="426"/>
              </w:tabs>
              <w:ind w:leftChars="0"/>
              <w:jc w:val="both"/>
              <w:rPr>
                <w:rFonts w:hint="default" w:ascii="Arial" w:hAnsi="Arial" w:cs="Arial"/>
              </w:rPr>
            </w:pPr>
            <w:bookmarkStart w:id="4" w:name="docs-internal-guid-8153387d-7fff-50cb-37"/>
            <w:bookmarkEnd w:id="4"/>
            <w:bookmarkStart w:id="5" w:name="docs-internal-guid-8037a6fc-7fff-2f50-8a"/>
            <w:bookmarkEnd w:id="5"/>
            <w:r>
              <w:rPr>
                <w:rFonts w:hint="default" w:ascii="Arial" w:hAnsi="Arial" w:cs="Arial"/>
              </w:rPr>
              <w:t>07</w:t>
            </w:r>
            <w:r>
              <w:rPr>
                <w:rFonts w:hint="default" w:ascii="Arial" w:hAnsi="Arial" w:cs="Arial"/>
                <w:lang w:val="pt-BR"/>
              </w:rPr>
              <w:t xml:space="preserve"> </w:t>
            </w:r>
            <w:r>
              <w:rPr>
                <w:rFonts w:hint="default" w:ascii="Arial" w:hAnsi="Arial" w:cs="Arial"/>
              </w:rPr>
              <w:t>002.12</w:t>
            </w:r>
            <w:r>
              <w:rPr>
                <w:rFonts w:hint="default" w:ascii="Arial" w:hAnsi="Arial" w:cs="Arial"/>
                <w:lang w:val="pt-BR"/>
              </w:rPr>
              <w:t xml:space="preserve"> </w:t>
            </w:r>
            <w:r>
              <w:rPr>
                <w:rFonts w:hint="default" w:ascii="Arial" w:hAnsi="Arial" w:cs="Arial"/>
              </w:rPr>
              <w:t>361</w:t>
            </w:r>
            <w:r>
              <w:rPr>
                <w:rFonts w:hint="default" w:ascii="Arial" w:hAnsi="Arial" w:cs="Arial"/>
                <w:lang w:val="pt-BR"/>
              </w:rPr>
              <w:t xml:space="preserve"> </w:t>
            </w:r>
            <w:r>
              <w:rPr>
                <w:rFonts w:hint="default" w:ascii="Arial" w:hAnsi="Arial" w:cs="Arial"/>
              </w:rPr>
              <w:t>1053</w:t>
            </w:r>
            <w:r>
              <w:rPr>
                <w:rFonts w:hint="default" w:ascii="Arial" w:hAnsi="Arial" w:cs="Arial"/>
                <w:lang w:val="pt-BR"/>
              </w:rPr>
              <w:t xml:space="preserve"> </w:t>
            </w:r>
            <w:r>
              <w:rPr>
                <w:rFonts w:hint="default" w:ascii="Arial" w:hAnsi="Arial" w:cs="Arial"/>
              </w:rPr>
              <w:t>2.330 </w:t>
            </w:r>
            <w:bookmarkStart w:id="6" w:name="docs-internal-guid-a96e5e02-7fff-682e-1d"/>
            <w:bookmarkEnd w:id="6"/>
          </w:p>
          <w:p w14:paraId="4F9077EF">
            <w:pPr>
              <w:pStyle w:val="19"/>
              <w:numPr>
                <w:ilvl w:val="0"/>
                <w:numId w:val="0"/>
              </w:numPr>
              <w:tabs>
                <w:tab w:val="left" w:pos="426"/>
              </w:tabs>
              <w:ind w:leftChars="0"/>
              <w:jc w:val="both"/>
              <w:rPr>
                <w:rFonts w:hint="default" w:ascii="Arial" w:hAnsi="Arial" w:cs="Arial"/>
              </w:rPr>
            </w:pPr>
            <w:r>
              <w:rPr>
                <w:rFonts w:hint="default" w:ascii="Arial" w:hAnsi="Arial" w:cs="Arial"/>
              </w:rPr>
              <w:t xml:space="preserve">07 001 04 122 1043 2.309 </w:t>
            </w:r>
          </w:p>
          <w:p w14:paraId="2362158B">
            <w:pPr>
              <w:pStyle w:val="19"/>
              <w:numPr>
                <w:ilvl w:val="0"/>
                <w:numId w:val="0"/>
              </w:numPr>
              <w:tabs>
                <w:tab w:val="left" w:pos="426"/>
              </w:tabs>
              <w:ind w:leftChars="0"/>
              <w:jc w:val="both"/>
              <w:rPr>
                <w:rFonts w:hint="default" w:ascii="Arial" w:hAnsi="Arial" w:cs="Arial"/>
              </w:rPr>
            </w:pPr>
            <w:r>
              <w:rPr>
                <w:rFonts w:hint="default" w:ascii="Arial" w:hAnsi="Arial" w:cs="Arial"/>
              </w:rPr>
              <w:t xml:space="preserve">07 002 12 366 1056 2.337 </w:t>
            </w:r>
            <w:r>
              <w:rPr>
                <w:rFonts w:ascii="Arial" w:hAnsi="Arial" w:cs="Arial"/>
              </w:rPr>
              <w:br w:type="textWrapping"/>
            </w:r>
            <w:bookmarkStart w:id="7" w:name="docs-internal-guid-989bcda4-7fff-95d7-d5"/>
            <w:bookmarkEnd w:id="7"/>
            <w:bookmarkStart w:id="8" w:name="docs-internal-guid-b93da6ce-7fff-7de0-41"/>
            <w:bookmarkEnd w:id="8"/>
            <w:r>
              <w:rPr>
                <w:rFonts w:hint="default" w:ascii="Arial" w:hAnsi="Arial" w:cs="Arial"/>
              </w:rPr>
              <w:t xml:space="preserve">07 002 12 367 1055 2.336 </w:t>
            </w:r>
          </w:p>
          <w:p w14:paraId="43F680BC">
            <w:pPr>
              <w:pStyle w:val="19"/>
              <w:numPr>
                <w:ilvl w:val="0"/>
                <w:numId w:val="0"/>
              </w:numPr>
              <w:tabs>
                <w:tab w:val="left" w:pos="426"/>
              </w:tabs>
              <w:ind w:leftChars="0"/>
              <w:jc w:val="both"/>
              <w:rPr>
                <w:rFonts w:hint="default" w:ascii="Arial" w:hAnsi="Arial" w:cs="Arial"/>
              </w:rPr>
            </w:pPr>
            <w:r>
              <w:rPr>
                <w:rFonts w:hint="default" w:ascii="Arial" w:hAnsi="Arial" w:cs="Arial"/>
              </w:rPr>
              <w:t xml:space="preserve">07 003 12 365 1062 2.348 </w:t>
            </w:r>
          </w:p>
          <w:p w14:paraId="20612748">
            <w:pPr>
              <w:pStyle w:val="19"/>
              <w:numPr>
                <w:ilvl w:val="0"/>
                <w:numId w:val="0"/>
              </w:numPr>
              <w:tabs>
                <w:tab w:val="left" w:pos="426"/>
              </w:tabs>
              <w:ind w:leftChars="0"/>
              <w:jc w:val="both"/>
              <w:rPr>
                <w:rFonts w:ascii="Arial" w:hAnsi="Arial" w:cs="Arial"/>
              </w:rPr>
            </w:pPr>
            <w:r>
              <w:rPr>
                <w:rFonts w:hint="default" w:ascii="Arial" w:hAnsi="Arial" w:cs="Arial"/>
              </w:rPr>
              <w:t>07 004 12 365 1070 2.365</w:t>
            </w:r>
          </w:p>
        </w:tc>
      </w:tr>
      <w:tr w14:paraId="425C3F7A">
        <w:tblPrEx>
          <w:tblCellMar>
            <w:top w:w="0" w:type="dxa"/>
            <w:left w:w="108" w:type="dxa"/>
            <w:bottom w:w="0" w:type="dxa"/>
            <w:right w:w="108" w:type="dxa"/>
          </w:tblCellMar>
        </w:tblPrEx>
        <w:trPr>
          <w:trHeight w:val="1813" w:hRule="atLeast"/>
          <w:jc w:val="center"/>
        </w:trPr>
        <w:tc>
          <w:tcPr>
            <w:tcW w:w="885" w:type="dxa"/>
            <w:tcBorders>
              <w:top w:val="single" w:color="000000" w:sz="4" w:space="0"/>
              <w:left w:val="single" w:color="000000" w:sz="4" w:space="0"/>
              <w:bottom w:val="single" w:color="000000" w:sz="4" w:space="0"/>
            </w:tcBorders>
            <w:noWrap w:val="0"/>
            <w:vAlign w:val="center"/>
          </w:tcPr>
          <w:p w14:paraId="21BA7FCB">
            <w:pPr>
              <w:pStyle w:val="19"/>
              <w:numPr>
                <w:ilvl w:val="0"/>
                <w:numId w:val="0"/>
              </w:numPr>
              <w:tabs>
                <w:tab w:val="left" w:pos="426"/>
              </w:tabs>
              <w:ind w:leftChars="0"/>
              <w:jc w:val="both"/>
              <w:rPr>
                <w:rFonts w:ascii="Arial" w:hAnsi="Arial" w:cs="Arial"/>
              </w:rPr>
            </w:pPr>
          </w:p>
        </w:tc>
        <w:tc>
          <w:tcPr>
            <w:tcW w:w="3773" w:type="dxa"/>
            <w:tcBorders>
              <w:top w:val="single" w:color="000000" w:sz="4" w:space="0"/>
              <w:bottom w:val="single" w:color="000000" w:sz="4" w:space="0"/>
            </w:tcBorders>
            <w:noWrap w:val="0"/>
            <w:vAlign w:val="center"/>
          </w:tcPr>
          <w:p w14:paraId="76CD0EEE">
            <w:pPr>
              <w:pStyle w:val="19"/>
              <w:numPr>
                <w:ilvl w:val="0"/>
                <w:numId w:val="0"/>
              </w:numPr>
              <w:tabs>
                <w:tab w:val="left" w:pos="426"/>
              </w:tabs>
              <w:ind w:leftChars="0"/>
              <w:jc w:val="both"/>
              <w:rPr>
                <w:rFonts w:ascii="Arial" w:hAnsi="Arial" w:cs="Arial"/>
              </w:rPr>
            </w:pPr>
            <w:r>
              <w:rPr>
                <w:rFonts w:ascii="Arial" w:hAnsi="Arial" w:cs="Arial"/>
              </w:rPr>
              <w:t>Fonte de Recurso:</w:t>
            </w:r>
          </w:p>
        </w:tc>
        <w:tc>
          <w:tcPr>
            <w:tcW w:w="4515" w:type="dxa"/>
            <w:gridSpan w:val="2"/>
            <w:tcBorders>
              <w:top w:val="single" w:color="000000" w:sz="4" w:space="0"/>
              <w:bottom w:val="single" w:color="000000" w:sz="4" w:space="0"/>
              <w:right w:val="single" w:color="000000" w:sz="4" w:space="0"/>
            </w:tcBorders>
            <w:noWrap w:val="0"/>
            <w:vAlign w:val="center"/>
          </w:tcPr>
          <w:p w14:paraId="2B8D26E7">
            <w:pPr>
              <w:pStyle w:val="19"/>
              <w:numPr>
                <w:ilvl w:val="0"/>
                <w:numId w:val="0"/>
              </w:numPr>
              <w:tabs>
                <w:tab w:val="left" w:pos="426"/>
              </w:tabs>
              <w:ind w:leftChars="0"/>
              <w:jc w:val="both"/>
              <w:rPr>
                <w:rFonts w:ascii="Arial" w:hAnsi="Arial" w:cs="Arial"/>
              </w:rPr>
            </w:pPr>
            <w:bookmarkStart w:id="9" w:name="docs-internal-guid-f5b21c19-7fff-ca73-86"/>
            <w:bookmarkEnd w:id="9"/>
            <w:r>
              <w:rPr>
                <w:rFonts w:ascii="Arial" w:hAnsi="Arial" w:cs="Arial"/>
              </w:rPr>
              <w:t xml:space="preserve">150010010000 </w:t>
            </w:r>
            <w:r>
              <w:rPr>
                <w:rFonts w:ascii="Arial" w:hAnsi="Arial" w:cs="Arial"/>
              </w:rPr>
              <w:br w:type="textWrapping"/>
            </w:r>
            <w:r>
              <w:rPr>
                <w:rFonts w:ascii="Arial" w:hAnsi="Arial" w:cs="Arial"/>
              </w:rPr>
              <w:t>155000000000</w:t>
            </w:r>
            <w:r>
              <w:rPr>
                <w:rFonts w:ascii="Arial" w:hAnsi="Arial" w:cs="Arial"/>
              </w:rPr>
              <w:br w:type="textWrapping"/>
            </w:r>
            <w:r>
              <w:rPr>
                <w:rFonts w:ascii="Arial" w:hAnsi="Arial" w:cs="Arial"/>
              </w:rPr>
              <w:t>157300000000</w:t>
            </w:r>
            <w:r>
              <w:rPr>
                <w:rFonts w:ascii="Arial" w:hAnsi="Arial" w:cs="Arial"/>
              </w:rPr>
              <w:br w:type="textWrapping"/>
            </w:r>
            <w:r>
              <w:rPr>
                <w:rFonts w:ascii="Arial" w:hAnsi="Arial" w:cs="Arial"/>
              </w:rPr>
              <w:t>150000000000</w:t>
            </w:r>
            <w:r>
              <w:rPr>
                <w:rFonts w:ascii="Arial" w:hAnsi="Arial" w:cs="Arial"/>
              </w:rPr>
              <w:br w:type="textWrapping"/>
            </w:r>
            <w:r>
              <w:rPr>
                <w:rFonts w:ascii="Arial" w:hAnsi="Arial" w:cs="Arial"/>
              </w:rPr>
              <w:t>156900000000</w:t>
            </w:r>
            <w:r>
              <w:rPr>
                <w:rFonts w:ascii="Arial" w:hAnsi="Arial" w:cs="Arial"/>
              </w:rPr>
              <w:br w:type="textWrapping"/>
            </w:r>
            <w:r>
              <w:rPr>
                <w:rFonts w:ascii="Arial" w:hAnsi="Arial" w:cs="Arial"/>
              </w:rPr>
              <w:t>157000000000</w:t>
            </w:r>
          </w:p>
        </w:tc>
      </w:tr>
      <w:tr w14:paraId="6D52BD29">
        <w:tblPrEx>
          <w:tblCellMar>
            <w:top w:w="0" w:type="dxa"/>
            <w:left w:w="108" w:type="dxa"/>
            <w:bottom w:w="0" w:type="dxa"/>
            <w:right w:w="108" w:type="dxa"/>
          </w:tblCellMar>
        </w:tblPrEx>
        <w:trPr>
          <w:jc w:val="center"/>
        </w:trPr>
        <w:tc>
          <w:tcPr>
            <w:tcW w:w="885" w:type="dxa"/>
            <w:tcBorders>
              <w:top w:val="single" w:color="000000" w:sz="4" w:space="0"/>
              <w:left w:val="single" w:color="000000" w:sz="4" w:space="0"/>
              <w:bottom w:val="single" w:color="000000" w:sz="4" w:space="0"/>
            </w:tcBorders>
            <w:noWrap w:val="0"/>
            <w:vAlign w:val="center"/>
          </w:tcPr>
          <w:p w14:paraId="12267B9A">
            <w:pPr>
              <w:pStyle w:val="19"/>
              <w:numPr>
                <w:ilvl w:val="1"/>
                <w:numId w:val="3"/>
              </w:numPr>
              <w:tabs>
                <w:tab w:val="left" w:pos="426"/>
              </w:tabs>
              <w:ind w:left="0" w:firstLine="0"/>
              <w:jc w:val="both"/>
              <w:rPr>
                <w:rFonts w:ascii="Arial" w:hAnsi="Arial" w:cs="Arial"/>
              </w:rPr>
            </w:pPr>
            <w:r>
              <w:rPr>
                <w:rFonts w:ascii="Arial" w:hAnsi="Arial" w:cs="Arial"/>
              </w:rPr>
              <w:t xml:space="preserve"> </w:t>
            </w:r>
          </w:p>
        </w:tc>
        <w:tc>
          <w:tcPr>
            <w:tcW w:w="3791" w:type="dxa"/>
            <w:gridSpan w:val="2"/>
            <w:tcBorders>
              <w:top w:val="single" w:color="000000" w:sz="4" w:space="0"/>
              <w:bottom w:val="single" w:color="000000" w:sz="4" w:space="0"/>
            </w:tcBorders>
            <w:noWrap w:val="0"/>
            <w:vAlign w:val="center"/>
          </w:tcPr>
          <w:p w14:paraId="6151A2D4">
            <w:pPr>
              <w:pStyle w:val="19"/>
              <w:numPr>
                <w:ilvl w:val="0"/>
                <w:numId w:val="0"/>
              </w:numPr>
              <w:tabs>
                <w:tab w:val="left" w:pos="426"/>
              </w:tabs>
              <w:ind w:leftChars="0"/>
              <w:jc w:val="both"/>
              <w:rPr>
                <w:rFonts w:ascii="Arial" w:hAnsi="Arial" w:cs="Arial"/>
              </w:rPr>
            </w:pPr>
            <w:r>
              <w:rPr>
                <w:rFonts w:ascii="Arial" w:hAnsi="Arial" w:cs="Arial"/>
              </w:rPr>
              <w:t>Natureza da Despesa:</w:t>
            </w:r>
          </w:p>
        </w:tc>
        <w:tc>
          <w:tcPr>
            <w:tcW w:w="4497" w:type="dxa"/>
            <w:tcBorders>
              <w:top w:val="single" w:color="000000" w:sz="4" w:space="0"/>
              <w:bottom w:val="single" w:color="000000" w:sz="4" w:space="0"/>
              <w:right w:val="single" w:color="000000" w:sz="4" w:space="0"/>
            </w:tcBorders>
            <w:noWrap w:val="0"/>
            <w:vAlign w:val="center"/>
          </w:tcPr>
          <w:p w14:paraId="477662AA">
            <w:pPr>
              <w:pStyle w:val="19"/>
              <w:numPr>
                <w:ilvl w:val="0"/>
                <w:numId w:val="0"/>
              </w:numPr>
              <w:tabs>
                <w:tab w:val="left" w:pos="426"/>
              </w:tabs>
              <w:ind w:leftChars="0"/>
              <w:jc w:val="both"/>
              <w:rPr>
                <w:rFonts w:ascii="Arial" w:hAnsi="Arial" w:cs="Arial"/>
              </w:rPr>
            </w:pPr>
            <w:bookmarkStart w:id="10" w:name="docs-internal-guid-467a5c35-7fff-29e2-1d"/>
            <w:bookmarkEnd w:id="10"/>
            <w:r>
              <w:rPr>
                <w:rFonts w:ascii="Arial" w:hAnsi="Arial" w:cs="Arial"/>
              </w:rPr>
              <w:t xml:space="preserve">339030-12 </w:t>
            </w:r>
          </w:p>
        </w:tc>
      </w:tr>
    </w:tbl>
    <w:p w14:paraId="3F2CC4CC">
      <w:pPr>
        <w:pStyle w:val="19"/>
        <w:numPr>
          <w:ilvl w:val="0"/>
          <w:numId w:val="0"/>
        </w:numPr>
        <w:tabs>
          <w:tab w:val="left" w:pos="426"/>
        </w:tabs>
        <w:ind w:leftChars="0"/>
        <w:jc w:val="both"/>
        <w:rPr>
          <w:rFonts w:ascii="Arial" w:hAnsi="Arial" w:cs="Arial"/>
        </w:rPr>
      </w:pPr>
      <w:r>
        <w:rPr>
          <w:rFonts w:hint="default" w:ascii="Arial" w:hAnsi="Arial" w:cs="Arial"/>
          <w:lang w:val="pt-BR"/>
        </w:rPr>
        <w:t xml:space="preserve">13.2 </w:t>
      </w:r>
      <w:r>
        <w:rPr>
          <w:rFonts w:ascii="Arial" w:hAnsi="Arial" w:cs="Arial"/>
        </w:rPr>
        <w:t>A dotação relativa aos exercícios financeiros subsequentes será indicada após aprovação da Lei Orçamentária respectiva e liberação dos créditos correspondentes, mediante apostilamento.</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hanging="426"/>
      <w:rPr>
        <w:rFonts w:ascii="Times New Roman" w:hAnsi="Times New Roman" w:eastAsia="Times New Roman" w:cs="Times New Roman"/>
        <w:sz w:val="28"/>
        <w:szCs w:val="20"/>
        <w:lang w:val="pt-BR" w:eastAsia="zh-CN"/>
      </w:rPr>
    </w:pPr>
    <w:r>
      <w:drawing>
        <wp:inline distT="0" distB="0" distL="114300" distR="114300">
          <wp:extent cx="5761990" cy="116713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5761990" cy="1167130"/>
                  </a:xfrm>
                  <a:prstGeom prst="rect">
                    <a:avLst/>
                  </a:prstGeom>
                  <a:noFill/>
                  <a:ln>
                    <a:noFill/>
                  </a:ln>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11CC2ACE"/>
    <w:rsid w:val="1AF72D93"/>
    <w:rsid w:val="1FD12E07"/>
    <w:rsid w:val="21605527"/>
    <w:rsid w:val="21E6189A"/>
    <w:rsid w:val="261206FC"/>
    <w:rsid w:val="27BC22F4"/>
    <w:rsid w:val="3C0F73F6"/>
    <w:rsid w:val="3C4D19A5"/>
    <w:rsid w:val="3C9967A2"/>
    <w:rsid w:val="3D361311"/>
    <w:rsid w:val="4A496325"/>
    <w:rsid w:val="501F24D5"/>
    <w:rsid w:val="57BE0A0B"/>
    <w:rsid w:val="5C237373"/>
    <w:rsid w:val="623C6820"/>
    <w:rsid w:val="65C27E6B"/>
    <w:rsid w:val="68532C2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9"/>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uiPriority w:val="0"/>
    <w:rPr>
      <w:rFonts w:ascii="Arial" w:hAnsi="Arial" w:cs="Arial"/>
      <w:b/>
      <w:bCs/>
      <w:i/>
      <w:iCs/>
      <w:color w:val="FF0000"/>
      <w:sz w:val="24"/>
      <w:szCs w:val="24"/>
      <w:u w:val="single"/>
    </w:rPr>
  </w:style>
  <w:style w:type="character" w:customStyle="1" w:styleId="54">
    <w:name w:val="Nivel 2 Char"/>
    <w:basedOn w:val="5"/>
    <w:link w:val="45"/>
    <w:locked/>
    <w:uiPriority w:val="0"/>
    <w:rPr>
      <w:rFonts w:ascii="Arial" w:hAnsi="Arial" w:cs="Arial" w:eastAsiaTheme="minorEastAsia"/>
      <w:color w:val="000000"/>
    </w:rPr>
  </w:style>
  <w:style w:type="character" w:customStyle="1" w:styleId="55">
    <w:name w:val="Parágrafo da Lista Char"/>
    <w:basedOn w:val="5"/>
    <w:link w:val="19"/>
    <w:uiPriority w:val="34"/>
    <w:rPr>
      <w:rFonts w:ascii="Verdana" w:hAnsi="Verdana" w:eastAsia="Verdana" w:cs="Verdana"/>
      <w:sz w:val="22"/>
      <w:szCs w:val="22"/>
      <w:lang w:val="pt-PT" w:eastAsia="en-US"/>
    </w:rPr>
  </w:style>
  <w:style w:type="character" w:customStyle="1" w:styleId="56">
    <w:name w:val="Nivel 3 Char"/>
    <w:basedOn w:val="5"/>
    <w:link w:val="46"/>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17</Pages>
  <Words>5363</Words>
  <Characters>28963</Characters>
  <Lines>241</Lines>
  <Paragraphs>68</Paragraphs>
  <TotalTime>1</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2026-02-23T17:37:29Z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2AD6451D698D4692823DD9656A345FF1_12</vt:lpwstr>
  </property>
</Properties>
</file>